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D1631" w14:textId="77777777" w:rsidR="00B37761" w:rsidRDefault="00B37761"/>
    <w:p w14:paraId="77776056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667A6670" w14:textId="5EF95D1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  <w:r>
        <w:rPr>
          <w:rFonts w:cstheme="minorHAnsi"/>
          <w:b/>
          <w:bCs/>
        </w:rPr>
        <w:t>SISTEMA DE INCENTIVOS DE BASE TERRITORIAL</w:t>
      </w:r>
      <w:r w:rsidR="00093D23">
        <w:rPr>
          <w:rFonts w:cstheme="minorHAnsi"/>
          <w:b/>
          <w:bCs/>
        </w:rPr>
        <w:t xml:space="preserve">- </w:t>
      </w:r>
      <w:r w:rsidR="00093D23" w:rsidRPr="00093D23">
        <w:rPr>
          <w:rFonts w:cstheme="minorHAnsi"/>
          <w:b/>
          <w:bCs/>
        </w:rPr>
        <w:t>CIM TÂMEGA E SOUSA</w:t>
      </w:r>
    </w:p>
    <w:p w14:paraId="1646198F" w14:textId="77777777" w:rsidR="00D76032" w:rsidRDefault="00D76032" w:rsidP="00D76032">
      <w:pPr>
        <w:shd w:val="clear" w:color="auto" w:fill="FFFFFF"/>
        <w:spacing w:after="0" w:line="240" w:lineRule="auto"/>
        <w:ind w:right="-852"/>
        <w:jc w:val="center"/>
        <w:textAlignment w:val="baseline"/>
        <w:rPr>
          <w:rFonts w:cstheme="minorHAnsi"/>
          <w:b/>
          <w:bCs/>
        </w:rPr>
      </w:pPr>
    </w:p>
    <w:p w14:paraId="3A53E5B4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Aviso</w:t>
      </w:r>
    </w:p>
    <w:p w14:paraId="40EA1532" w14:textId="29EB1365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NORTE2030-2026-26</w:t>
      </w:r>
    </w:p>
    <w:p w14:paraId="051AEF0A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D3E8C01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Principais objetivos </w:t>
      </w:r>
    </w:p>
    <w:p w14:paraId="6F3C0703" w14:textId="4C500323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Apoiar investimentos de pequena dimensão de micro e pequenas empresas para a criação, expansão ou modernização da sua atividade, contribuindo para o emprego e para a resiliência das economias locais.</w:t>
      </w:r>
    </w:p>
    <w:p w14:paraId="5A25EE11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0367C9D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Entidades beneficiárias</w:t>
      </w:r>
    </w:p>
    <w:p w14:paraId="3DC7C0B6" w14:textId="4DCF1BDC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Micro e pequenas empresas com estabelecimento na NUTS III Tâmega e Sousa.</w:t>
      </w:r>
    </w:p>
    <w:p w14:paraId="29BD971D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CEF254A" w14:textId="695B09DA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Despesas elegíveis</w:t>
      </w:r>
    </w:p>
    <w:p w14:paraId="66155394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Diretos: </w:t>
      </w:r>
    </w:p>
    <w:p w14:paraId="7F2DED33" w14:textId="41384180" w:rsidR="00B90DEE" w:rsidRPr="00B90DEE" w:rsidRDefault="00B90DEE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Ativos Corpóreos: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Aquisição de máquinas, equipamentos e custos diretamente atribuíveis para os colocar na localização e condições de funcionamento, bem como equipamentos informáticos (incluindo o software necessário ao seu funcionamento</w:t>
      </w:r>
      <w:r>
        <w:rPr>
          <w:rFonts w:eastAsia="Times New Roman" w:cstheme="minorHAnsi"/>
          <w:kern w:val="0"/>
          <w:lang w:eastAsia="pt-PT"/>
          <w14:ligatures w14:val="none"/>
        </w:rPr>
        <w:t>).</w:t>
      </w:r>
    </w:p>
    <w:p w14:paraId="1FF1B185" w14:textId="729D5CBC" w:rsidR="00B90DEE" w:rsidRPr="00B90DEE" w:rsidRDefault="00B90DEE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Ativos Incorpóreos: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Transferência de tecnologia através da aquisição de direitos de patentes (nacionais e internacionais), licenças, conhecimentos técnicos não protegidos por patente e software </w:t>
      </w:r>
      <w:r w:rsidRPr="00B90DEE">
        <w:rPr>
          <w:rFonts w:eastAsia="Times New Roman" w:cstheme="minorHAnsi"/>
          <w:i/>
          <w:iCs/>
          <w:kern w:val="0"/>
          <w:lang w:eastAsia="pt-PT"/>
          <w14:ligatures w14:val="none"/>
        </w:rPr>
        <w:t>standard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ou desenvolvido especificamente para o projeto.</w:t>
      </w:r>
    </w:p>
    <w:p w14:paraId="1633F5B0" w14:textId="443357E3" w:rsidR="00B90DEE" w:rsidRPr="00B90DEE" w:rsidRDefault="00B90DEE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Certificação e Marcas: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Custos associados à certificação de produtos, processos ou serviços, e despesas com a conceção e registo de novas marcas.</w:t>
      </w:r>
    </w:p>
    <w:p w14:paraId="62652785" w14:textId="57BD48A2" w:rsidR="00B90DEE" w:rsidRPr="00B90DEE" w:rsidRDefault="00B90DEE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Serviços Especializados: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Despesas com a intervenção de Contabilistas Certificados (CC) ou Revisores Oficiais de Contas (ROC) para validação da despesa nos pedidos de pagamento,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até ao limite de 2.000 €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DA9F733" w14:textId="77777777" w:rsidR="00B90DEE" w:rsidRPr="00B90DEE" w:rsidRDefault="00B90DEE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Instalações e Obras: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Obras de construção de edifícios, remodelação e outras construções, quando devidamente justificadas pelo objetivo da operação</w:t>
      </w:r>
    </w:p>
    <w:p w14:paraId="5FA8270B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E231E97" w14:textId="77777777" w:rsid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Custos Indiretos: </w:t>
      </w:r>
    </w:p>
    <w:p w14:paraId="0FE09B48" w14:textId="2CFBFEFC" w:rsidR="00093D23" w:rsidRDefault="00093D23" w:rsidP="00B90DEE">
      <w:pPr>
        <w:pStyle w:val="PargrafodaLista"/>
        <w:numPr>
          <w:ilvl w:val="0"/>
          <w:numId w:val="9"/>
        </w:num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Taxa fixa de 5% sobre os custos diretos elegíveis.</w:t>
      </w:r>
    </w:p>
    <w:p w14:paraId="4DBD5F07" w14:textId="77777777" w:rsidR="00A34883" w:rsidRDefault="00A34883" w:rsidP="00A34883">
      <w:pPr>
        <w:shd w:val="clear" w:color="auto" w:fill="FFFFFF"/>
        <w:spacing w:after="0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D80AB01" w14:textId="77777777" w:rsidR="00A34883" w:rsidRDefault="00A34883" w:rsidP="00A3488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b/>
          <w:bCs/>
          <w:kern w:val="0"/>
          <w:lang w:eastAsia="pt-PT"/>
          <w14:ligatures w14:val="none"/>
        </w:rPr>
        <w:t>Razoabilidade de Custos</w:t>
      </w:r>
    </w:p>
    <w:p w14:paraId="5C2D16F5" w14:textId="77777777" w:rsidR="00A34883" w:rsidRPr="00DF64E3" w:rsidRDefault="00A34883" w:rsidP="00A34883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DF64E3">
        <w:rPr>
          <w:rFonts w:eastAsia="Times New Roman" w:cstheme="minorHAnsi"/>
          <w:kern w:val="0"/>
          <w:lang w:eastAsia="pt-PT"/>
          <w14:ligatures w14:val="none"/>
        </w:rPr>
        <w:t>Exige-se a apresentação de consulta a pelo menos 3 fornecedores não relacionados entre si para comprovação dos preços de mercado</w:t>
      </w:r>
      <w:r>
        <w:rPr>
          <w:rFonts w:eastAsia="Times New Roman" w:cstheme="minorHAnsi"/>
          <w:kern w:val="0"/>
          <w:lang w:eastAsia="pt-PT"/>
          <w14:ligatures w14:val="none"/>
        </w:rPr>
        <w:t>.</w:t>
      </w:r>
    </w:p>
    <w:p w14:paraId="5A565013" w14:textId="77777777" w:rsidR="00093D23" w:rsidRPr="00A34883" w:rsidRDefault="00093D23" w:rsidP="00A3488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1BCFFCAE" w14:textId="22DCE5E2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Período de Candidaturas</w:t>
      </w:r>
    </w:p>
    <w:p w14:paraId="36B1D087" w14:textId="7B5983F8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De 30/09/2026 a 16/11/2026 às 18h.</w:t>
      </w:r>
    </w:p>
    <w:p w14:paraId="1941C128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5E99ADCC" w14:textId="0A9BDC1F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Condições de acesso dos beneficiários</w:t>
      </w:r>
    </w:p>
    <w:p w14:paraId="109EF250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48AD5462" w14:textId="4EE3CE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Ser Micro ou Pequena Empresa com certificação PME.</w:t>
      </w:r>
    </w:p>
    <w:p w14:paraId="3C8B154F" w14:textId="0B47B003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Estar legalmente constituída e com início de atividade há pelo menos 1 mês.</w:t>
      </w:r>
    </w:p>
    <w:p w14:paraId="3EBD4C25" w14:textId="30D9FD78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contabilidade organizada e situação tributária/contributiva regularizada.</w:t>
      </w:r>
    </w:p>
    <w:p w14:paraId="7F1EF61D" w14:textId="3A0FB87C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Dispor de pelo menos 1 posto de trabalho remunerado em ETI inscrito na Segurança Social.</w:t>
      </w:r>
    </w:p>
    <w:p w14:paraId="61D4AC19" w14:textId="576DE928" w:rsidR="00093D23" w:rsidRPr="00B90DEE" w:rsidRDefault="00093D23" w:rsidP="00B90DEE">
      <w:pPr>
        <w:pStyle w:val="PargrafodaLista"/>
        <w:numPr>
          <w:ilvl w:val="0"/>
          <w:numId w:val="8"/>
        </w:numPr>
        <w:shd w:val="clear" w:color="auto" w:fill="FFFFFF"/>
        <w:spacing w:after="0" w:line="240" w:lineRule="auto"/>
        <w:ind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Para a indústria extrativa e transformadora, localizar-se em Áreas de Acolhimento Empresarial (AAE) ou Zonas Industriais.</w:t>
      </w:r>
    </w:p>
    <w:p w14:paraId="5F8AE937" w14:textId="77777777" w:rsidR="00093D23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5C70E850" w14:textId="77777777" w:rsidR="00495810" w:rsidRDefault="00495810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2E512E47" w14:textId="77777777" w:rsidR="00495810" w:rsidRDefault="00495810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0A1D4B7F" w14:textId="77777777" w:rsidR="00495810" w:rsidRPr="00B90DEE" w:rsidRDefault="00495810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7CD5B35E" w14:textId="2D4F1D81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Duração das operações</w:t>
      </w:r>
    </w:p>
    <w:p w14:paraId="3C0FDBD1" w14:textId="168CA28B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>24 meses</w:t>
      </w:r>
    </w:p>
    <w:p w14:paraId="4A832555" w14:textId="77777777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2E2C0D94" w14:textId="6B11A8B3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 xml:space="preserve">Investimento </w:t>
      </w:r>
    </w:p>
    <w:p w14:paraId="67980221" w14:textId="5EF921A5" w:rsidR="00B90DEE" w:rsidRP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Montante mínimo de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25.000 €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e máximo inferior a </w:t>
      </w: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300.000€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 (incluindo os 5% de custos indiretos)</w:t>
      </w:r>
    </w:p>
    <w:p w14:paraId="67DB3124" w14:textId="77777777" w:rsid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</w:p>
    <w:p w14:paraId="5673E597" w14:textId="77777777" w:rsidR="00027107" w:rsidRDefault="00027107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</w:p>
    <w:p w14:paraId="01D16265" w14:textId="139857FB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b/>
          <w:bCs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b/>
          <w:bCs/>
          <w:kern w:val="0"/>
          <w:lang w:eastAsia="pt-PT"/>
          <w14:ligatures w14:val="none"/>
        </w:rPr>
        <w:t>Forma e taxas de financiamento</w:t>
      </w:r>
    </w:p>
    <w:p w14:paraId="34D9A8A3" w14:textId="00B4CED3" w:rsidR="00093D23" w:rsidRPr="00B90DEE" w:rsidRDefault="00093D23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 w:rsidRPr="00B90DEE">
        <w:rPr>
          <w:rFonts w:eastAsia="Times New Roman" w:cstheme="minorHAnsi"/>
          <w:kern w:val="0"/>
          <w:lang w:eastAsia="pt-PT"/>
          <w14:ligatures w14:val="none"/>
        </w:rPr>
        <w:t xml:space="preserve">Incentivo não reembolsável </w:t>
      </w:r>
      <w:r w:rsidR="00B90DEE" w:rsidRPr="00B90DEE">
        <w:rPr>
          <w:rFonts w:eastAsia="Times New Roman" w:cstheme="minorHAnsi"/>
          <w:kern w:val="0"/>
          <w:lang w:eastAsia="pt-PT"/>
          <w14:ligatures w14:val="none"/>
        </w:rPr>
        <w:t xml:space="preserve">de </w:t>
      </w:r>
      <w:r w:rsidRPr="00B90DEE">
        <w:rPr>
          <w:rFonts w:eastAsia="Times New Roman" w:cstheme="minorHAnsi"/>
          <w:kern w:val="0"/>
          <w:lang w:eastAsia="pt-PT"/>
          <w14:ligatures w14:val="none"/>
        </w:rPr>
        <w:t>50% para territórios de baixa densidade e 40% para os restantes territórios.</w:t>
      </w:r>
    </w:p>
    <w:p w14:paraId="58A5CB18" w14:textId="77777777" w:rsidR="00B90DEE" w:rsidRDefault="00B90DEE" w:rsidP="00B90DEE">
      <w:pPr>
        <w:pStyle w:val="PargrafodaLista"/>
        <w:shd w:val="clear" w:color="auto" w:fill="FFFFFF"/>
        <w:spacing w:after="0" w:line="240" w:lineRule="auto"/>
        <w:ind w:left="-567" w:right="-852"/>
        <w:jc w:val="both"/>
        <w:textAlignment w:val="baseline"/>
        <w:rPr>
          <w:rFonts w:eastAsia="Times New Roman" w:cstheme="minorHAnsi"/>
          <w:kern w:val="0"/>
          <w:lang w:eastAsia="pt-PT"/>
          <w14:ligatures w14:val="none"/>
        </w:rPr>
      </w:pPr>
      <w:r>
        <w:rPr>
          <w:rFonts w:eastAsia="Times New Roman" w:cstheme="minorHAnsi"/>
          <w:kern w:val="0"/>
          <w:lang w:eastAsia="pt-PT"/>
          <w14:ligatures w14:val="none"/>
        </w:rPr>
        <w:t xml:space="preserve">Apoio concedido ao abrigo dos </w:t>
      </w:r>
      <w:r w:rsidRPr="00B26881">
        <w:rPr>
          <w:rFonts w:eastAsia="Times New Roman" w:cstheme="minorHAnsi"/>
          <w:i/>
          <w:iCs/>
          <w:kern w:val="0"/>
          <w:lang w:eastAsia="pt-PT"/>
          <w14:ligatures w14:val="none"/>
        </w:rPr>
        <w:t>auxílios de minimis</w:t>
      </w:r>
      <w:r>
        <w:rPr>
          <w:rFonts w:eastAsia="Times New Roman" w:cstheme="minorHAnsi"/>
          <w:kern w:val="0"/>
          <w:lang w:eastAsia="pt-PT"/>
          <w14:ligatures w14:val="none"/>
        </w:rPr>
        <w:t xml:space="preserve">. </w:t>
      </w:r>
    </w:p>
    <w:p w14:paraId="492CD9A1" w14:textId="77777777" w:rsidR="00B90DEE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4FE8CBBD" w14:textId="77777777" w:rsidR="00B90DEE" w:rsidRPr="00093D23" w:rsidRDefault="00B90DEE" w:rsidP="00093D23">
      <w:pPr>
        <w:shd w:val="clear" w:color="auto" w:fill="FFFFFF"/>
        <w:spacing w:after="0" w:line="240" w:lineRule="auto"/>
        <w:ind w:right="-852"/>
        <w:jc w:val="both"/>
        <w:textAlignment w:val="baseline"/>
        <w:rPr>
          <w:rFonts w:cstheme="minorHAnsi"/>
        </w:rPr>
      </w:pPr>
    </w:p>
    <w:p w14:paraId="3A01F508" w14:textId="77777777" w:rsidR="00D76032" w:rsidRPr="00D76032" w:rsidRDefault="00D76032" w:rsidP="00093D23">
      <w:pPr>
        <w:shd w:val="clear" w:color="auto" w:fill="FFFFFF"/>
        <w:spacing w:after="0" w:line="240" w:lineRule="auto"/>
        <w:ind w:right="-852"/>
        <w:jc w:val="both"/>
        <w:textAlignment w:val="baseline"/>
      </w:pPr>
    </w:p>
    <w:sectPr w:rsidR="00D76032" w:rsidRPr="00D76032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C69F6D" w14:textId="77777777" w:rsidR="00FE6BA8" w:rsidRDefault="00FE6BA8" w:rsidP="00D76032">
      <w:pPr>
        <w:spacing w:after="0" w:line="240" w:lineRule="auto"/>
      </w:pPr>
      <w:r>
        <w:separator/>
      </w:r>
    </w:p>
  </w:endnote>
  <w:endnote w:type="continuationSeparator" w:id="0">
    <w:p w14:paraId="36C2DE7C" w14:textId="77777777" w:rsidR="00FE6BA8" w:rsidRDefault="00FE6BA8" w:rsidP="00D760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4A967B" w14:textId="77777777" w:rsidR="00FE6BA8" w:rsidRDefault="00FE6BA8" w:rsidP="00D76032">
      <w:pPr>
        <w:spacing w:after="0" w:line="240" w:lineRule="auto"/>
      </w:pPr>
      <w:r>
        <w:separator/>
      </w:r>
    </w:p>
  </w:footnote>
  <w:footnote w:type="continuationSeparator" w:id="0">
    <w:p w14:paraId="578FC7EF" w14:textId="77777777" w:rsidR="00FE6BA8" w:rsidRDefault="00FE6BA8" w:rsidP="00D760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43E38" w14:textId="5D96EEC5" w:rsidR="00D76032" w:rsidRPr="00D76032" w:rsidRDefault="00D76032" w:rsidP="00D76032">
    <w:pPr>
      <w:pStyle w:val="Cabealho"/>
      <w:rPr>
        <w:noProof/>
      </w:rPr>
    </w:pPr>
    <w:r w:rsidRPr="004A6B40">
      <w:rPr>
        <w:noProof/>
      </w:rPr>
      <w:drawing>
        <wp:anchor distT="0" distB="0" distL="114300" distR="114300" simplePos="0" relativeHeight="251659264" behindDoc="1" locked="0" layoutInCell="1" allowOverlap="1" wp14:anchorId="0252ED3D" wp14:editId="71A4A0D8">
          <wp:simplePos x="0" y="0"/>
          <wp:positionH relativeFrom="column">
            <wp:posOffset>2710815</wp:posOffset>
          </wp:positionH>
          <wp:positionV relativeFrom="paragraph">
            <wp:posOffset>7620</wp:posOffset>
          </wp:positionV>
          <wp:extent cx="3276600" cy="624114"/>
          <wp:effectExtent l="0" t="0" r="0" b="5080"/>
          <wp:wrapTight wrapText="bothSides">
            <wp:wrapPolygon edited="0">
              <wp:start x="0" y="0"/>
              <wp:lineTo x="0" y="21116"/>
              <wp:lineTo x="21474" y="21116"/>
              <wp:lineTo x="21474" y="0"/>
              <wp:lineTo x="0" y="0"/>
            </wp:wrapPolygon>
          </wp:wrapTight>
          <wp:docPr id="402078754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07875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62411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76032">
      <w:rPr>
        <w:noProof/>
      </w:rPr>
      <w:drawing>
        <wp:anchor distT="0" distB="0" distL="114300" distR="114300" simplePos="0" relativeHeight="251658240" behindDoc="1" locked="0" layoutInCell="1" allowOverlap="1" wp14:anchorId="254992DF" wp14:editId="0497E827">
          <wp:simplePos x="0" y="0"/>
          <wp:positionH relativeFrom="margin">
            <wp:posOffset>-762000</wp:posOffset>
          </wp:positionH>
          <wp:positionV relativeFrom="paragraph">
            <wp:posOffset>-239395</wp:posOffset>
          </wp:positionV>
          <wp:extent cx="2038350" cy="1069340"/>
          <wp:effectExtent l="0" t="0" r="0" b="0"/>
          <wp:wrapTight wrapText="bothSides">
            <wp:wrapPolygon edited="0">
              <wp:start x="2624" y="3848"/>
              <wp:lineTo x="2221" y="5772"/>
              <wp:lineTo x="2221" y="15007"/>
              <wp:lineTo x="2624" y="17316"/>
              <wp:lineTo x="6460" y="17316"/>
              <wp:lineTo x="14131" y="16546"/>
              <wp:lineTo x="17159" y="15007"/>
              <wp:lineTo x="16957" y="10774"/>
              <wp:lineTo x="19581" y="10774"/>
              <wp:lineTo x="18774" y="6542"/>
              <wp:lineTo x="9084" y="3848"/>
              <wp:lineTo x="2624" y="3848"/>
            </wp:wrapPolygon>
          </wp:wrapTight>
          <wp:docPr id="24829710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8350" cy="106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FA3CA0C" w14:textId="6A5DA32B" w:rsidR="00D76032" w:rsidRPr="00D76032" w:rsidRDefault="00D76032" w:rsidP="00D7603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B7760"/>
    <w:multiLevelType w:val="hybridMultilevel"/>
    <w:tmpl w:val="FA88B54E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0E5B96"/>
    <w:multiLevelType w:val="hybridMultilevel"/>
    <w:tmpl w:val="F7E0143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68272E"/>
    <w:multiLevelType w:val="multilevel"/>
    <w:tmpl w:val="B200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9B72B8"/>
    <w:multiLevelType w:val="hybridMultilevel"/>
    <w:tmpl w:val="796A65D0"/>
    <w:lvl w:ilvl="0" w:tplc="E2707F3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B055E3"/>
    <w:multiLevelType w:val="hybridMultilevel"/>
    <w:tmpl w:val="5E3EF012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5" w15:restartNumberingAfterBreak="0">
    <w:nsid w:val="4F6D4FEA"/>
    <w:multiLevelType w:val="hybridMultilevel"/>
    <w:tmpl w:val="2EBADCFC"/>
    <w:lvl w:ilvl="0" w:tplc="0816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57F929D2"/>
    <w:multiLevelType w:val="hybridMultilevel"/>
    <w:tmpl w:val="3BBC221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5046CC"/>
    <w:multiLevelType w:val="multilevel"/>
    <w:tmpl w:val="63762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A6B08DB"/>
    <w:multiLevelType w:val="multilevel"/>
    <w:tmpl w:val="F2C04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2C5A0C"/>
    <w:multiLevelType w:val="multilevel"/>
    <w:tmpl w:val="8CB692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16451342">
    <w:abstractNumId w:val="2"/>
  </w:num>
  <w:num w:numId="2" w16cid:durableId="1828589584">
    <w:abstractNumId w:val="8"/>
  </w:num>
  <w:num w:numId="3" w16cid:durableId="1695495814">
    <w:abstractNumId w:val="9"/>
  </w:num>
  <w:num w:numId="4" w16cid:durableId="2020621744">
    <w:abstractNumId w:val="6"/>
  </w:num>
  <w:num w:numId="5" w16cid:durableId="1963219239">
    <w:abstractNumId w:val="1"/>
  </w:num>
  <w:num w:numId="6" w16cid:durableId="1886794728">
    <w:abstractNumId w:val="0"/>
  </w:num>
  <w:num w:numId="7" w16cid:durableId="769740753">
    <w:abstractNumId w:val="3"/>
  </w:num>
  <w:num w:numId="8" w16cid:durableId="993485765">
    <w:abstractNumId w:val="4"/>
  </w:num>
  <w:num w:numId="9" w16cid:durableId="539054503">
    <w:abstractNumId w:val="7"/>
  </w:num>
  <w:num w:numId="10" w16cid:durableId="170656610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ADD"/>
    <w:rsid w:val="00027107"/>
    <w:rsid w:val="00093D23"/>
    <w:rsid w:val="000C317B"/>
    <w:rsid w:val="00134CF7"/>
    <w:rsid w:val="00495810"/>
    <w:rsid w:val="00580808"/>
    <w:rsid w:val="00596A0E"/>
    <w:rsid w:val="006E63B7"/>
    <w:rsid w:val="00883ADD"/>
    <w:rsid w:val="00A026EC"/>
    <w:rsid w:val="00A34883"/>
    <w:rsid w:val="00A51E0E"/>
    <w:rsid w:val="00B37761"/>
    <w:rsid w:val="00B90DEE"/>
    <w:rsid w:val="00BB4936"/>
    <w:rsid w:val="00D04C00"/>
    <w:rsid w:val="00D76032"/>
    <w:rsid w:val="00DB0E57"/>
    <w:rsid w:val="00EE3072"/>
    <w:rsid w:val="00FE6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5D2E05"/>
  <w15:chartTrackingRefBased/>
  <w15:docId w15:val="{DD11B433-973F-43CD-A2FC-2062DDEF7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6032"/>
  </w:style>
  <w:style w:type="paragraph" w:styleId="Ttulo1">
    <w:name w:val="heading 1"/>
    <w:basedOn w:val="Normal"/>
    <w:next w:val="Normal"/>
    <w:link w:val="Ttulo1Carter"/>
    <w:uiPriority w:val="9"/>
    <w:qFormat/>
    <w:rsid w:val="0088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8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83A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8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83A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8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8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8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8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883A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883A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883A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883ADD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883ADD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883AD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883ADD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883AD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883AD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88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88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883A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88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883A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883ADD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83ADD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883ADD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83A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883ADD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883ADD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D76032"/>
  </w:style>
  <w:style w:type="paragraph" w:styleId="Rodap">
    <w:name w:val="footer"/>
    <w:basedOn w:val="Normal"/>
    <w:link w:val="RodapCarter"/>
    <w:uiPriority w:val="99"/>
    <w:unhideWhenUsed/>
    <w:rsid w:val="00D7603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D760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393</Words>
  <Characters>2128</Characters>
  <Application>Microsoft Office Word</Application>
  <DocSecurity>0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Morgado</dc:creator>
  <cp:keywords/>
  <dc:description/>
  <cp:lastModifiedBy>Joao Morgado</cp:lastModifiedBy>
  <cp:revision>4</cp:revision>
  <dcterms:created xsi:type="dcterms:W3CDTF">2026-10-14T08:38:00Z</dcterms:created>
  <dcterms:modified xsi:type="dcterms:W3CDTF">2026-10-14T08:48:00Z</dcterms:modified>
</cp:coreProperties>
</file>